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kern w:val="2"/>
          <w:sz w:val="24"/>
          <w:szCs w:val="24"/>
          <w:lang w:val="en-US" w:eastAsia="zh-CN"/>
        </w:rPr>
      </w:pPr>
      <w:r>
        <w:rPr>
          <w:rFonts w:ascii="黑体" w:hAnsi="黑体" w:eastAsia="黑体" w:cs="黑体"/>
          <w:b/>
          <w:bCs/>
          <w:kern w:val="2"/>
          <w:sz w:val="24"/>
          <w:szCs w:val="24"/>
          <w:lang w:val="en-US"/>
        </w:rPr>
        <w:t>附件</w:t>
      </w:r>
      <w:r>
        <w:rPr>
          <w:rFonts w:hint="eastAsia" w:ascii="黑体" w:hAnsi="黑体" w:eastAsia="黑体" w:cs="黑体"/>
          <w:b/>
          <w:bCs/>
          <w:kern w:val="2"/>
          <w:sz w:val="24"/>
          <w:szCs w:val="24"/>
          <w:lang w:val="en-US" w:eastAsia="zh-CN"/>
        </w:rPr>
        <w:t>1</w:t>
      </w:r>
    </w:p>
    <w:tbl>
      <w:tblPr>
        <w:tblStyle w:val="11"/>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741"/>
        <w:gridCol w:w="512"/>
        <w:gridCol w:w="1859"/>
        <w:gridCol w:w="1191"/>
        <w:gridCol w:w="5854"/>
        <w:gridCol w:w="844"/>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67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kern w:val="0"/>
                <w:sz w:val="24"/>
                <w:szCs w:val="24"/>
                <w:lang w:eastAsia="zh-CN"/>
              </w:rPr>
              <w:t>项目编号</w:t>
            </w:r>
          </w:p>
        </w:tc>
        <w:tc>
          <w:tcPr>
            <w:tcW w:w="2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kern w:val="0"/>
                <w:sz w:val="24"/>
                <w:szCs w:val="24"/>
                <w:lang w:val="en-US" w:eastAsia="zh-CN"/>
              </w:rPr>
              <w:t>标名称</w:t>
            </w:r>
          </w:p>
        </w:tc>
        <w:tc>
          <w:tcPr>
            <w:tcW w:w="18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kern w:val="0"/>
                <w:sz w:val="24"/>
                <w:szCs w:val="24"/>
                <w:lang w:eastAsia="zh-CN"/>
              </w:rPr>
              <w:t>包号</w:t>
            </w:r>
          </w:p>
        </w:tc>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kern w:val="0"/>
                <w:sz w:val="24"/>
                <w:szCs w:val="24"/>
                <w:lang w:eastAsia="zh-CN"/>
              </w:rPr>
              <w:t>包名称</w:t>
            </w:r>
          </w:p>
        </w:tc>
        <w:tc>
          <w:tcPr>
            <w:tcW w:w="42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kern w:val="0"/>
                <w:sz w:val="24"/>
                <w:szCs w:val="24"/>
                <w:lang w:eastAsia="zh-CN"/>
              </w:rPr>
              <w:t>入围供应商数量</w:t>
            </w:r>
          </w:p>
        </w:tc>
        <w:tc>
          <w:tcPr>
            <w:tcW w:w="206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kern w:val="0"/>
                <w:sz w:val="24"/>
                <w:szCs w:val="24"/>
                <w:lang w:val="en-US" w:eastAsia="zh-CN"/>
              </w:rPr>
              <w:t>专用资质</w:t>
            </w:r>
          </w:p>
        </w:tc>
        <w:tc>
          <w:tcPr>
            <w:tcW w:w="29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报价方式</w:t>
            </w:r>
          </w:p>
        </w:tc>
        <w:tc>
          <w:tcPr>
            <w:tcW w:w="43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kern w:val="0"/>
                <w:sz w:val="24"/>
                <w:szCs w:val="24"/>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7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lang w:val="en-US" w:eastAsia="zh-CN" w:bidi="ar-SA"/>
              </w:rPr>
              <w:t>YZ-G-202402012</w:t>
            </w:r>
          </w:p>
        </w:tc>
        <w:tc>
          <w:tcPr>
            <w:tcW w:w="262"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lang w:val="en-US" w:eastAsia="zh-CN" w:bidi="ar-SA"/>
              </w:rPr>
              <w:t>技术服务</w:t>
            </w:r>
          </w:p>
        </w:tc>
        <w:tc>
          <w:tcPr>
            <w:tcW w:w="181"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1</w:t>
            </w:r>
          </w:p>
        </w:tc>
        <w:tc>
          <w:tcPr>
            <w:tcW w:w="65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220千伏输电线路（组塔放线）劳务分包框架</w:t>
            </w:r>
          </w:p>
        </w:tc>
        <w:tc>
          <w:tcPr>
            <w:tcW w:w="421" w:type="pct"/>
            <w:noWrap w:val="0"/>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w:t>
            </w:r>
          </w:p>
        </w:tc>
        <w:tc>
          <w:tcPr>
            <w:tcW w:w="2069" w:type="pct"/>
            <w:noWrap w:val="0"/>
            <w:vAlign w:val="center"/>
          </w:tcPr>
          <w:p>
            <w:pPr>
              <w:keepNext w:val="0"/>
              <w:keepLines w:val="0"/>
              <w:widowControl/>
              <w:numPr>
                <w:ilvl w:val="0"/>
                <w:numId w:val="1"/>
              </w:numPr>
              <w:suppressLineNumbers w:val="0"/>
              <w:jc w:val="left"/>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具有电力工程施工总承包贰级及以上资质</w:t>
            </w:r>
            <w:r>
              <w:rPr>
                <w:rFonts w:hint="eastAsia" w:ascii="宋体" w:hAnsi="宋体" w:cs="宋体"/>
                <w:color w:val="auto"/>
                <w:sz w:val="24"/>
                <w:szCs w:val="24"/>
                <w:vertAlign w:val="baseline"/>
                <w:lang w:val="en-US" w:eastAsia="zh-CN"/>
              </w:rPr>
              <w:t>；</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2.《承装（修、试）电力设施许可证》许可范围至少包含承装贰级及以上、承修贰级及以上资质</w:t>
            </w:r>
            <w:r>
              <w:rPr>
                <w:rFonts w:hint="eastAsia" w:ascii="宋体" w:hAnsi="宋体" w:cs="宋体"/>
                <w:color w:val="auto"/>
                <w:sz w:val="24"/>
                <w:szCs w:val="24"/>
                <w:vertAlign w:val="baseline"/>
                <w:lang w:val="en-US" w:eastAsia="zh-CN"/>
              </w:rPr>
              <w:t>；</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3.具有施工劳务企业资质</w:t>
            </w:r>
            <w:r>
              <w:rPr>
                <w:rFonts w:hint="eastAsia" w:ascii="宋体" w:hAnsi="宋体" w:cs="宋体"/>
                <w:color w:val="auto"/>
                <w:sz w:val="24"/>
                <w:szCs w:val="24"/>
                <w:vertAlign w:val="baseline"/>
                <w:lang w:val="en-US" w:eastAsia="zh-CN"/>
              </w:rPr>
              <w:t>；</w:t>
            </w:r>
            <w:r>
              <w:rPr>
                <w:rFonts w:hint="eastAsia" w:ascii="宋体" w:hAnsi="宋体" w:eastAsia="宋体" w:cs="宋体"/>
                <w:color w:val="auto"/>
                <w:sz w:val="24"/>
                <w:szCs w:val="24"/>
                <w:vertAlign w:val="baseline"/>
                <w:lang w:val="en-US" w:eastAsia="zh-CN"/>
              </w:rPr>
              <w:br w:type="textWrapping"/>
            </w:r>
            <w:r>
              <w:rPr>
                <w:rFonts w:hint="eastAsia" w:ascii="宋体" w:hAnsi="宋体" w:eastAsia="宋体" w:cs="宋体"/>
                <w:color w:val="auto"/>
                <w:sz w:val="24"/>
                <w:szCs w:val="24"/>
                <w:vertAlign w:val="baseline"/>
                <w:lang w:val="en-US" w:eastAsia="zh-CN"/>
              </w:rPr>
              <w:t>4.有效的安全生产许可证</w:t>
            </w:r>
            <w:r>
              <w:rPr>
                <w:rFonts w:hint="eastAsia" w:ascii="宋体" w:hAnsi="宋体" w:cs="宋体"/>
                <w:color w:val="auto"/>
                <w:sz w:val="24"/>
                <w:szCs w:val="24"/>
                <w:vertAlign w:val="baseline"/>
                <w:lang w:val="en-US" w:eastAsia="zh-CN"/>
              </w:rPr>
              <w:t>；</w:t>
            </w:r>
          </w:p>
          <w:p>
            <w:pPr>
              <w:pStyle w:val="2"/>
              <w:numPr>
                <w:ilvl w:val="0"/>
                <w:numId w:val="0"/>
              </w:numPr>
              <w:rPr>
                <w:rFonts w:hint="default"/>
                <w:lang w:val="en-US" w:eastAsia="zh-CN"/>
              </w:rPr>
            </w:pPr>
            <w:r>
              <w:rPr>
                <w:rFonts w:hint="eastAsia" w:ascii="宋体" w:hAnsi="宋体" w:eastAsia="宋体" w:cs="宋体"/>
                <w:color w:val="auto"/>
                <w:kern w:val="2"/>
                <w:sz w:val="24"/>
                <w:szCs w:val="24"/>
                <w:vertAlign w:val="baseline"/>
                <w:lang w:val="en-US" w:eastAsia="zh-CN" w:bidi="ar-SA"/>
              </w:rPr>
              <w:t>5.投标人需为一般纳税人，能够为采购单位开具专用增值税发票。</w:t>
            </w:r>
          </w:p>
        </w:tc>
        <w:tc>
          <w:tcPr>
            <w:tcW w:w="298" w:type="pct"/>
            <w:vMerge w:val="restart"/>
            <w:noWrap w:val="0"/>
            <w:vAlign w:val="center"/>
          </w:tcPr>
          <w:p>
            <w:pPr>
              <w:keepNext w:val="0"/>
              <w:keepLines w:val="0"/>
              <w:widowControl/>
              <w:suppressLineNumbers w:val="0"/>
              <w:jc w:val="left"/>
              <w:textAlignment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不报价</w:t>
            </w:r>
          </w:p>
        </w:tc>
        <w:tc>
          <w:tcPr>
            <w:tcW w:w="43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lang w:val="en-US" w:eastAsia="zh-CN" w:bidi="ar-SA"/>
              </w:rPr>
              <w:t>合同签订之日起至2024年12月31日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26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auto"/>
                <w:kern w:val="2"/>
                <w:sz w:val="24"/>
                <w:szCs w:val="24"/>
                <w:vertAlign w:val="baseline"/>
                <w:lang w:val="en-US" w:eastAsia="zh-CN" w:bidi="ar-SA"/>
              </w:rPr>
            </w:pPr>
          </w:p>
        </w:tc>
        <w:tc>
          <w:tcPr>
            <w:tcW w:w="181"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2</w:t>
            </w:r>
          </w:p>
        </w:tc>
        <w:tc>
          <w:tcPr>
            <w:tcW w:w="65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10千伏及以下配电线路劳务分包框架</w:t>
            </w:r>
          </w:p>
        </w:tc>
        <w:tc>
          <w:tcPr>
            <w:tcW w:w="421"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6</w:t>
            </w:r>
          </w:p>
        </w:tc>
        <w:tc>
          <w:tcPr>
            <w:tcW w:w="2069" w:type="pct"/>
            <w:noWrap w:val="0"/>
            <w:vAlign w:val="center"/>
          </w:tcPr>
          <w:p>
            <w:pPr>
              <w:keepNext w:val="0"/>
              <w:keepLines w:val="0"/>
              <w:widowControl/>
              <w:numPr>
                <w:ilvl w:val="0"/>
                <w:numId w:val="2"/>
              </w:numPr>
              <w:suppressLineNumbers w:val="0"/>
              <w:jc w:val="left"/>
              <w:textAlignment w:val="center"/>
              <w:rPr>
                <w:rFonts w:hint="eastAsia" w:ascii="宋体" w:hAnsi="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具有</w:t>
            </w:r>
            <w:r>
              <w:rPr>
                <w:rFonts w:hint="eastAsia" w:ascii="宋体" w:hAnsi="宋体" w:cs="宋体"/>
                <w:color w:val="auto"/>
                <w:sz w:val="24"/>
                <w:szCs w:val="24"/>
                <w:highlight w:val="none"/>
                <w:vertAlign w:val="baseline"/>
                <w:lang w:val="en-US" w:eastAsia="zh-CN"/>
              </w:rPr>
              <w:t>有效的</w:t>
            </w:r>
            <w:r>
              <w:rPr>
                <w:rFonts w:hint="eastAsia" w:ascii="宋体" w:hAnsi="宋体" w:eastAsia="宋体" w:cs="宋体"/>
                <w:color w:val="auto"/>
                <w:sz w:val="24"/>
                <w:szCs w:val="24"/>
                <w:highlight w:val="none"/>
                <w:vertAlign w:val="baseline"/>
                <w:lang w:val="en-US" w:eastAsia="zh-CN"/>
              </w:rPr>
              <w:t>电力工程施工总承包叁级及以上资质或</w:t>
            </w:r>
            <w:r>
              <w:rPr>
                <w:rFonts w:hint="eastAsia" w:ascii="宋体" w:hAnsi="宋体" w:cs="宋体"/>
                <w:color w:val="auto"/>
                <w:sz w:val="24"/>
                <w:szCs w:val="24"/>
                <w:highlight w:val="none"/>
                <w:vertAlign w:val="baseline"/>
                <w:lang w:val="en-US" w:eastAsia="zh-CN"/>
              </w:rPr>
              <w:t>有效的</w:t>
            </w:r>
            <w:r>
              <w:rPr>
                <w:rFonts w:hint="eastAsia" w:ascii="宋体" w:hAnsi="宋体" w:eastAsia="宋体" w:cs="宋体"/>
                <w:color w:val="auto"/>
                <w:sz w:val="24"/>
                <w:szCs w:val="24"/>
                <w:highlight w:val="none"/>
                <w:vertAlign w:val="baseline"/>
                <w:lang w:val="en-US" w:eastAsia="zh-CN"/>
              </w:rPr>
              <w:t>建筑机电安装工程专业承包叁级及以上资质</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2.具有《承装（修、试）电力设施许可证》许可范围至少包含承装伍级及以上、承修伍级及以上资质</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3.施工劳务企业资质</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4.有效的安全生产许可证</w:t>
            </w:r>
            <w:r>
              <w:rPr>
                <w:rFonts w:hint="eastAsia" w:ascii="宋体" w:hAnsi="宋体" w:cs="宋体"/>
                <w:color w:val="auto"/>
                <w:sz w:val="24"/>
                <w:szCs w:val="24"/>
                <w:highlight w:val="none"/>
                <w:vertAlign w:val="baseline"/>
                <w:lang w:val="en-US" w:eastAsia="zh-CN"/>
              </w:rPr>
              <w:t>；</w:t>
            </w:r>
          </w:p>
          <w:p>
            <w:pPr>
              <w:pStyle w:val="2"/>
              <w:numPr>
                <w:ilvl w:val="0"/>
                <w:numId w:val="0"/>
              </w:numPr>
              <w:rPr>
                <w:rFonts w:hint="eastAsia"/>
                <w:lang w:val="en-US" w:eastAsia="zh-CN"/>
              </w:rPr>
            </w:pPr>
            <w:r>
              <w:rPr>
                <w:rFonts w:hint="eastAsia" w:ascii="宋体" w:hAnsi="宋体" w:eastAsia="宋体" w:cs="宋体"/>
                <w:color w:val="auto"/>
                <w:kern w:val="2"/>
                <w:sz w:val="24"/>
                <w:szCs w:val="24"/>
                <w:vertAlign w:val="baseline"/>
                <w:lang w:val="en-US" w:eastAsia="zh-CN" w:bidi="ar-SA"/>
              </w:rPr>
              <w:t>5.投标人需为一般纳税人，能够为采购单位开具专用增值税发票。</w:t>
            </w:r>
          </w:p>
        </w:tc>
        <w:tc>
          <w:tcPr>
            <w:tcW w:w="298" w:type="pct"/>
            <w:vMerge w:val="continue"/>
            <w:noWrap w:val="0"/>
            <w:vAlign w:val="center"/>
          </w:tcPr>
          <w:p>
            <w:pPr>
              <w:keepNext w:val="0"/>
              <w:keepLines w:val="0"/>
              <w:widowControl/>
              <w:suppressLineNumbers w:val="0"/>
              <w:jc w:val="left"/>
              <w:textAlignment w:val="center"/>
              <w:rPr>
                <w:rFonts w:hint="default" w:ascii="宋体" w:hAnsi="宋体" w:eastAsia="宋体" w:cs="宋体"/>
                <w:color w:val="auto"/>
                <w:sz w:val="24"/>
                <w:szCs w:val="24"/>
                <w:vertAlign w:val="baseline"/>
                <w:lang w:val="en-US" w:eastAsia="zh-CN"/>
              </w:rPr>
            </w:pPr>
          </w:p>
        </w:tc>
        <w:tc>
          <w:tcPr>
            <w:tcW w:w="43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6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26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181"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3</w:t>
            </w:r>
          </w:p>
        </w:tc>
        <w:tc>
          <w:tcPr>
            <w:tcW w:w="65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35千伏-110千伏输电线路（组塔放线）劳务分包框架</w:t>
            </w:r>
          </w:p>
        </w:tc>
        <w:tc>
          <w:tcPr>
            <w:tcW w:w="421"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2069" w:type="pct"/>
            <w:noWrap w:val="0"/>
            <w:vAlign w:val="center"/>
          </w:tcPr>
          <w:p>
            <w:pPr>
              <w:keepNext w:val="0"/>
              <w:keepLines w:val="0"/>
              <w:widowControl/>
              <w:numPr>
                <w:ilvl w:val="0"/>
                <w:numId w:val="3"/>
              </w:numPr>
              <w:suppressLineNumbers w:val="0"/>
              <w:jc w:val="left"/>
              <w:textAlignment w:val="center"/>
              <w:rPr>
                <w:rFonts w:hint="eastAsia" w:ascii="宋体" w:hAnsi="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具有</w:t>
            </w:r>
            <w:r>
              <w:rPr>
                <w:rFonts w:hint="eastAsia" w:ascii="宋体" w:hAnsi="宋体" w:cs="宋体"/>
                <w:color w:val="auto"/>
                <w:sz w:val="24"/>
                <w:szCs w:val="24"/>
                <w:highlight w:val="none"/>
                <w:vertAlign w:val="baseline"/>
                <w:lang w:val="en-US" w:eastAsia="zh-CN"/>
              </w:rPr>
              <w:t>有效的</w:t>
            </w:r>
            <w:r>
              <w:rPr>
                <w:rFonts w:hint="eastAsia" w:ascii="宋体" w:hAnsi="宋体" w:eastAsia="宋体" w:cs="宋体"/>
                <w:color w:val="auto"/>
                <w:sz w:val="24"/>
                <w:szCs w:val="24"/>
                <w:highlight w:val="none"/>
                <w:vertAlign w:val="baseline"/>
                <w:lang w:val="en-US" w:eastAsia="zh-CN"/>
              </w:rPr>
              <w:t>电力工程施工总承包叁级及以上资质</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2.《承装（修、试）电力设施许可证》许可范围至少包含承装叁级及以上、承修叁级及以上资质</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3.施工劳务企业资质</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4.有效的安全生产许可证</w:t>
            </w:r>
            <w:r>
              <w:rPr>
                <w:rFonts w:hint="eastAsia" w:ascii="宋体" w:hAnsi="宋体" w:cs="宋体"/>
                <w:color w:val="auto"/>
                <w:sz w:val="24"/>
                <w:szCs w:val="24"/>
                <w:highlight w:val="none"/>
                <w:vertAlign w:val="baseline"/>
                <w:lang w:val="en-US" w:eastAsia="zh-CN"/>
              </w:rPr>
              <w:t>；</w:t>
            </w:r>
          </w:p>
          <w:p>
            <w:pPr>
              <w:pStyle w:val="2"/>
              <w:numPr>
                <w:ilvl w:val="0"/>
                <w:numId w:val="0"/>
              </w:numPr>
              <w:rPr>
                <w:rFonts w:hint="eastAsia"/>
                <w:lang w:val="en-US" w:eastAsia="zh-CN"/>
              </w:rPr>
            </w:pPr>
            <w:r>
              <w:rPr>
                <w:rFonts w:hint="eastAsia" w:ascii="宋体" w:hAnsi="宋体" w:eastAsia="宋体" w:cs="宋体"/>
                <w:color w:val="auto"/>
                <w:kern w:val="2"/>
                <w:sz w:val="24"/>
                <w:szCs w:val="24"/>
                <w:vertAlign w:val="baseline"/>
                <w:lang w:val="en-US" w:eastAsia="zh-CN" w:bidi="ar-SA"/>
              </w:rPr>
              <w:t>5.投标人需为一般纳税人，能够为采购单位开具专用增值税发票。</w:t>
            </w:r>
          </w:p>
        </w:tc>
        <w:tc>
          <w:tcPr>
            <w:tcW w:w="298" w:type="pct"/>
            <w:vMerge w:val="continue"/>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vertAlign w:val="baseline"/>
                <w:lang w:val="en-US" w:eastAsia="zh-CN"/>
              </w:rPr>
            </w:pPr>
          </w:p>
        </w:tc>
        <w:tc>
          <w:tcPr>
            <w:tcW w:w="43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26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181"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4</w:t>
            </w:r>
          </w:p>
        </w:tc>
        <w:tc>
          <w:tcPr>
            <w:tcW w:w="65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输电线路基础（含电缆沟等线路土建作业）专业分包框架</w:t>
            </w:r>
          </w:p>
        </w:tc>
        <w:tc>
          <w:tcPr>
            <w:tcW w:w="421"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5</w:t>
            </w:r>
          </w:p>
        </w:tc>
        <w:tc>
          <w:tcPr>
            <w:tcW w:w="2069" w:type="pct"/>
            <w:noWrap w:val="0"/>
            <w:vAlign w:val="center"/>
          </w:tcPr>
          <w:p>
            <w:pPr>
              <w:keepNext w:val="0"/>
              <w:keepLines w:val="0"/>
              <w:widowControl/>
              <w:numPr>
                <w:ilvl w:val="0"/>
                <w:numId w:val="4"/>
              </w:numPr>
              <w:suppressLineNumbers w:val="0"/>
              <w:jc w:val="left"/>
              <w:textAlignment w:val="center"/>
              <w:rPr>
                <w:rFonts w:hint="eastAsia" w:ascii="宋体" w:hAnsi="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具有</w:t>
            </w:r>
            <w:r>
              <w:rPr>
                <w:rFonts w:hint="eastAsia" w:ascii="宋体" w:hAnsi="宋体" w:cs="宋体"/>
                <w:color w:val="auto"/>
                <w:sz w:val="24"/>
                <w:szCs w:val="24"/>
                <w:highlight w:val="none"/>
                <w:vertAlign w:val="baseline"/>
                <w:lang w:val="en-US" w:eastAsia="zh-CN"/>
              </w:rPr>
              <w:t>有效的</w:t>
            </w:r>
            <w:r>
              <w:rPr>
                <w:rFonts w:hint="eastAsia" w:ascii="宋体" w:hAnsi="宋体" w:eastAsia="宋体" w:cs="宋体"/>
                <w:color w:val="auto"/>
                <w:sz w:val="24"/>
                <w:szCs w:val="24"/>
                <w:highlight w:val="none"/>
                <w:vertAlign w:val="baseline"/>
                <w:lang w:val="en-US" w:eastAsia="zh-CN"/>
              </w:rPr>
              <w:t>地基基础工程专业承包叁级及以上资质</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2.有效的安全生产许可证</w:t>
            </w:r>
            <w:r>
              <w:rPr>
                <w:rFonts w:hint="eastAsia" w:ascii="宋体" w:hAnsi="宋体" w:cs="宋体"/>
                <w:color w:val="auto"/>
                <w:sz w:val="24"/>
                <w:szCs w:val="24"/>
                <w:highlight w:val="none"/>
                <w:vertAlign w:val="baseline"/>
                <w:lang w:val="en-US" w:eastAsia="zh-CN"/>
              </w:rPr>
              <w:t>；</w:t>
            </w:r>
          </w:p>
          <w:p>
            <w:pPr>
              <w:pStyle w:val="2"/>
              <w:numPr>
                <w:ilvl w:val="0"/>
                <w:numId w:val="0"/>
              </w:numPr>
              <w:rPr>
                <w:rFonts w:hint="eastAsia"/>
                <w:lang w:val="en-US" w:eastAsia="zh-CN"/>
              </w:rPr>
            </w:pPr>
            <w:r>
              <w:rPr>
                <w:rFonts w:hint="eastAsia" w:ascii="宋体" w:cs="宋体"/>
                <w:color w:val="auto"/>
                <w:kern w:val="2"/>
                <w:sz w:val="24"/>
                <w:szCs w:val="24"/>
                <w:vertAlign w:val="baseline"/>
                <w:lang w:val="en-US" w:eastAsia="zh-CN" w:bidi="ar-SA"/>
              </w:rPr>
              <w:t>3</w:t>
            </w:r>
            <w:r>
              <w:rPr>
                <w:rFonts w:hint="eastAsia" w:ascii="宋体" w:hAnsi="宋体" w:eastAsia="宋体" w:cs="宋体"/>
                <w:color w:val="auto"/>
                <w:kern w:val="2"/>
                <w:sz w:val="24"/>
                <w:szCs w:val="24"/>
                <w:vertAlign w:val="baseline"/>
                <w:lang w:val="en-US" w:eastAsia="zh-CN" w:bidi="ar-SA"/>
              </w:rPr>
              <w:t>.投标人需为一般纳税人，能够为采购单位开具专用增值税发票。</w:t>
            </w:r>
          </w:p>
        </w:tc>
        <w:tc>
          <w:tcPr>
            <w:tcW w:w="298" w:type="pct"/>
            <w:vMerge w:val="continue"/>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vertAlign w:val="baseline"/>
                <w:lang w:val="en-US" w:eastAsia="zh-CN"/>
              </w:rPr>
            </w:pPr>
          </w:p>
        </w:tc>
        <w:tc>
          <w:tcPr>
            <w:tcW w:w="43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6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26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181"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5</w:t>
            </w:r>
          </w:p>
        </w:tc>
        <w:tc>
          <w:tcPr>
            <w:tcW w:w="65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变电土建专业分包框架</w:t>
            </w:r>
          </w:p>
        </w:tc>
        <w:tc>
          <w:tcPr>
            <w:tcW w:w="421"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6</w:t>
            </w:r>
          </w:p>
        </w:tc>
        <w:tc>
          <w:tcPr>
            <w:tcW w:w="2069" w:type="pct"/>
            <w:noWrap w:val="0"/>
            <w:vAlign w:val="center"/>
          </w:tcPr>
          <w:p>
            <w:pPr>
              <w:keepNext w:val="0"/>
              <w:keepLines w:val="0"/>
              <w:widowControl/>
              <w:numPr>
                <w:ilvl w:val="0"/>
                <w:numId w:val="5"/>
              </w:numPr>
              <w:suppressLineNumbers w:val="0"/>
              <w:jc w:val="left"/>
              <w:textAlignment w:val="center"/>
              <w:rPr>
                <w:rFonts w:hint="eastAsia" w:ascii="宋体" w:hAnsi="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具有</w:t>
            </w:r>
            <w:r>
              <w:rPr>
                <w:rFonts w:hint="eastAsia" w:ascii="宋体" w:hAnsi="宋体" w:cs="宋体"/>
                <w:color w:val="auto"/>
                <w:sz w:val="24"/>
                <w:szCs w:val="24"/>
                <w:highlight w:val="none"/>
                <w:vertAlign w:val="baseline"/>
                <w:lang w:val="en-US" w:eastAsia="zh-CN"/>
              </w:rPr>
              <w:t>有效的</w:t>
            </w:r>
            <w:r>
              <w:rPr>
                <w:rFonts w:hint="eastAsia" w:ascii="宋体" w:hAnsi="宋体" w:eastAsia="宋体" w:cs="宋体"/>
                <w:color w:val="auto"/>
                <w:sz w:val="24"/>
                <w:szCs w:val="24"/>
                <w:highlight w:val="none"/>
                <w:vertAlign w:val="baseline"/>
                <w:lang w:val="en-US" w:eastAsia="zh-CN"/>
              </w:rPr>
              <w:t>建筑工程施工总承包叁级及以上资质或</w:t>
            </w:r>
            <w:r>
              <w:rPr>
                <w:rFonts w:hint="eastAsia" w:ascii="宋体" w:hAnsi="宋体" w:cs="宋体"/>
                <w:color w:val="auto"/>
                <w:sz w:val="24"/>
                <w:szCs w:val="24"/>
                <w:highlight w:val="none"/>
                <w:vertAlign w:val="baseline"/>
                <w:lang w:val="en-US" w:eastAsia="zh-CN"/>
              </w:rPr>
              <w:t>有效的</w:t>
            </w:r>
            <w:r>
              <w:rPr>
                <w:rFonts w:hint="eastAsia" w:ascii="宋体" w:hAnsi="宋体" w:eastAsia="宋体" w:cs="宋体"/>
                <w:color w:val="auto"/>
                <w:sz w:val="24"/>
                <w:szCs w:val="24"/>
                <w:highlight w:val="none"/>
                <w:vertAlign w:val="baseline"/>
                <w:lang w:val="en-US" w:eastAsia="zh-CN"/>
              </w:rPr>
              <w:t>地基基础工程专业承包叁级及以上资质</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2.有效的安全生产许可证</w:t>
            </w:r>
            <w:r>
              <w:rPr>
                <w:rFonts w:hint="eastAsia" w:ascii="宋体" w:hAnsi="宋体" w:cs="宋体"/>
                <w:color w:val="auto"/>
                <w:sz w:val="24"/>
                <w:szCs w:val="24"/>
                <w:highlight w:val="none"/>
                <w:vertAlign w:val="baseline"/>
                <w:lang w:val="en-US" w:eastAsia="zh-CN"/>
              </w:rPr>
              <w:t>；</w:t>
            </w:r>
          </w:p>
          <w:p>
            <w:pPr>
              <w:pStyle w:val="2"/>
              <w:numPr>
                <w:ilvl w:val="0"/>
                <w:numId w:val="0"/>
              </w:numPr>
              <w:rPr>
                <w:rFonts w:hint="eastAsia"/>
                <w:lang w:val="en-US" w:eastAsia="zh-CN"/>
              </w:rPr>
            </w:pPr>
            <w:r>
              <w:rPr>
                <w:rFonts w:hint="eastAsia" w:ascii="宋体" w:cs="宋体"/>
                <w:color w:val="auto"/>
                <w:kern w:val="2"/>
                <w:sz w:val="24"/>
                <w:szCs w:val="24"/>
                <w:vertAlign w:val="baseline"/>
                <w:lang w:val="en-US" w:eastAsia="zh-CN" w:bidi="ar-SA"/>
              </w:rPr>
              <w:t>3</w:t>
            </w:r>
            <w:r>
              <w:rPr>
                <w:rFonts w:hint="eastAsia" w:ascii="宋体" w:hAnsi="宋体" w:eastAsia="宋体" w:cs="宋体"/>
                <w:color w:val="auto"/>
                <w:kern w:val="2"/>
                <w:sz w:val="24"/>
                <w:szCs w:val="24"/>
                <w:vertAlign w:val="baseline"/>
                <w:lang w:val="en-US" w:eastAsia="zh-CN" w:bidi="ar-SA"/>
              </w:rPr>
              <w:t>.投标人需为一般纳税人，能够为采购单位开具专用增值税发票。</w:t>
            </w:r>
          </w:p>
        </w:tc>
        <w:tc>
          <w:tcPr>
            <w:tcW w:w="298" w:type="pct"/>
            <w:vMerge w:val="continue"/>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vertAlign w:val="baseline"/>
                <w:lang w:val="en-US" w:eastAsia="zh-CN"/>
              </w:rPr>
            </w:pPr>
          </w:p>
        </w:tc>
        <w:tc>
          <w:tcPr>
            <w:tcW w:w="43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26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181"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6</w:t>
            </w:r>
          </w:p>
        </w:tc>
        <w:tc>
          <w:tcPr>
            <w:tcW w:w="65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变电土建劳务分包框架</w:t>
            </w:r>
          </w:p>
        </w:tc>
        <w:tc>
          <w:tcPr>
            <w:tcW w:w="421" w:type="pct"/>
            <w:noWrap w:val="0"/>
            <w:vAlign w:val="center"/>
          </w:tcPr>
          <w:p>
            <w:pPr>
              <w:keepNext w:val="0"/>
              <w:keepLines w:val="0"/>
              <w:widowControl/>
              <w:suppressLineNumbers w:val="0"/>
              <w:jc w:val="center"/>
              <w:textAlignment w:val="center"/>
              <w:rPr>
                <w:rFonts w:hint="eastAsia"/>
                <w:lang w:val="en-US" w:eastAsia="zh-CN"/>
              </w:rPr>
            </w:pPr>
            <w:r>
              <w:rPr>
                <w:rFonts w:hint="eastAsia" w:ascii="宋体" w:hAnsi="宋体" w:cs="宋体"/>
                <w:color w:val="auto"/>
                <w:sz w:val="24"/>
                <w:szCs w:val="24"/>
                <w:vertAlign w:val="baseline"/>
                <w:lang w:val="en-US" w:eastAsia="zh-CN"/>
              </w:rPr>
              <w:t>5</w:t>
            </w:r>
          </w:p>
        </w:tc>
        <w:tc>
          <w:tcPr>
            <w:tcW w:w="2069" w:type="pct"/>
            <w:noWrap w:val="0"/>
            <w:vAlign w:val="center"/>
          </w:tcPr>
          <w:p>
            <w:pPr>
              <w:keepNext w:val="0"/>
              <w:keepLines w:val="0"/>
              <w:widowControl/>
              <w:numPr>
                <w:ilvl w:val="0"/>
                <w:numId w:val="6"/>
              </w:numPr>
              <w:suppressLineNumbers w:val="0"/>
              <w:jc w:val="left"/>
              <w:textAlignment w:val="center"/>
              <w:rPr>
                <w:rFonts w:hint="eastAsia" w:ascii="宋体" w:hAnsi="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具有</w:t>
            </w:r>
            <w:r>
              <w:rPr>
                <w:rFonts w:hint="eastAsia" w:ascii="宋体" w:hAnsi="宋体" w:cs="宋体"/>
                <w:color w:val="auto"/>
                <w:sz w:val="24"/>
                <w:szCs w:val="24"/>
                <w:highlight w:val="none"/>
                <w:vertAlign w:val="baseline"/>
                <w:lang w:val="en-US" w:eastAsia="zh-CN"/>
              </w:rPr>
              <w:t>有效的</w:t>
            </w:r>
            <w:r>
              <w:rPr>
                <w:rFonts w:hint="eastAsia" w:ascii="宋体" w:hAnsi="宋体" w:eastAsia="宋体" w:cs="宋体"/>
                <w:color w:val="auto"/>
                <w:sz w:val="24"/>
                <w:szCs w:val="24"/>
                <w:highlight w:val="none"/>
                <w:vertAlign w:val="baseline"/>
                <w:lang w:val="en-US" w:eastAsia="zh-CN"/>
              </w:rPr>
              <w:t>建筑工程施工总承包叁级及以上资质或</w:t>
            </w:r>
            <w:r>
              <w:rPr>
                <w:rFonts w:hint="eastAsia" w:ascii="宋体" w:hAnsi="宋体" w:cs="宋体"/>
                <w:color w:val="auto"/>
                <w:sz w:val="24"/>
                <w:szCs w:val="24"/>
                <w:highlight w:val="none"/>
                <w:vertAlign w:val="baseline"/>
                <w:lang w:val="en-US" w:eastAsia="zh-CN"/>
              </w:rPr>
              <w:t>有效的</w:t>
            </w:r>
            <w:r>
              <w:rPr>
                <w:rFonts w:hint="eastAsia" w:ascii="宋体" w:hAnsi="宋体" w:eastAsia="宋体" w:cs="宋体"/>
                <w:color w:val="auto"/>
                <w:sz w:val="24"/>
                <w:szCs w:val="24"/>
                <w:highlight w:val="none"/>
                <w:vertAlign w:val="baseline"/>
                <w:lang w:val="en-US" w:eastAsia="zh-CN"/>
              </w:rPr>
              <w:t>地基基础工程专业承包叁级及以上资质</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2.具有施工劳务企业资质</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3.有效的安全生产许可证</w:t>
            </w:r>
            <w:r>
              <w:rPr>
                <w:rFonts w:hint="eastAsia" w:ascii="宋体" w:hAnsi="宋体" w:cs="宋体"/>
                <w:color w:val="auto"/>
                <w:sz w:val="24"/>
                <w:szCs w:val="24"/>
                <w:highlight w:val="none"/>
                <w:vertAlign w:val="baseline"/>
                <w:lang w:val="en-US" w:eastAsia="zh-CN"/>
              </w:rPr>
              <w:t>；</w:t>
            </w:r>
          </w:p>
          <w:p>
            <w:pPr>
              <w:pStyle w:val="2"/>
              <w:numPr>
                <w:ilvl w:val="0"/>
                <w:numId w:val="0"/>
              </w:numPr>
              <w:rPr>
                <w:rFonts w:hint="eastAsia"/>
                <w:lang w:val="en-US" w:eastAsia="zh-CN"/>
              </w:rPr>
            </w:pPr>
            <w:r>
              <w:rPr>
                <w:rFonts w:hint="eastAsia" w:ascii="宋体" w:cs="宋体"/>
                <w:color w:val="auto"/>
                <w:kern w:val="2"/>
                <w:sz w:val="24"/>
                <w:szCs w:val="24"/>
                <w:vertAlign w:val="baseline"/>
                <w:lang w:val="en-US" w:eastAsia="zh-CN" w:bidi="ar-SA"/>
              </w:rPr>
              <w:t>4</w:t>
            </w:r>
            <w:r>
              <w:rPr>
                <w:rFonts w:hint="eastAsia" w:ascii="宋体" w:hAnsi="宋体" w:eastAsia="宋体" w:cs="宋体"/>
                <w:color w:val="auto"/>
                <w:kern w:val="2"/>
                <w:sz w:val="24"/>
                <w:szCs w:val="24"/>
                <w:vertAlign w:val="baseline"/>
                <w:lang w:val="en-US" w:eastAsia="zh-CN" w:bidi="ar-SA"/>
              </w:rPr>
              <w:t>.投标人需为一般纳税人，能够为采购单位开具专用增值税发票。</w:t>
            </w:r>
          </w:p>
        </w:tc>
        <w:tc>
          <w:tcPr>
            <w:tcW w:w="298" w:type="pct"/>
            <w:vMerge w:val="continue"/>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vertAlign w:val="baseline"/>
                <w:lang w:val="en-US" w:eastAsia="zh-CN"/>
              </w:rPr>
            </w:pPr>
          </w:p>
        </w:tc>
        <w:tc>
          <w:tcPr>
            <w:tcW w:w="43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6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26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181"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7</w:t>
            </w:r>
          </w:p>
        </w:tc>
        <w:tc>
          <w:tcPr>
            <w:tcW w:w="65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变电电气安装劳务分包框架</w:t>
            </w:r>
          </w:p>
        </w:tc>
        <w:tc>
          <w:tcPr>
            <w:tcW w:w="421"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2069" w:type="pct"/>
            <w:noWrap w:val="0"/>
            <w:vAlign w:val="center"/>
          </w:tcPr>
          <w:p>
            <w:pPr>
              <w:keepNext w:val="0"/>
              <w:keepLines w:val="0"/>
              <w:widowControl/>
              <w:numPr>
                <w:ilvl w:val="0"/>
                <w:numId w:val="7"/>
              </w:numPr>
              <w:suppressLineNumbers w:val="0"/>
              <w:jc w:val="left"/>
              <w:textAlignment w:val="center"/>
              <w:rPr>
                <w:rFonts w:hint="eastAsia" w:ascii="宋体" w:hAnsi="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具有</w:t>
            </w:r>
            <w:r>
              <w:rPr>
                <w:rFonts w:hint="eastAsia" w:ascii="宋体" w:hAnsi="宋体" w:cs="宋体"/>
                <w:color w:val="auto"/>
                <w:sz w:val="24"/>
                <w:szCs w:val="24"/>
                <w:highlight w:val="none"/>
                <w:vertAlign w:val="baseline"/>
                <w:lang w:val="en-US" w:eastAsia="zh-CN"/>
              </w:rPr>
              <w:t>有效的</w:t>
            </w:r>
            <w:r>
              <w:rPr>
                <w:rFonts w:hint="eastAsia" w:ascii="宋体" w:hAnsi="宋体" w:eastAsia="宋体" w:cs="宋体"/>
                <w:color w:val="auto"/>
                <w:sz w:val="24"/>
                <w:szCs w:val="24"/>
                <w:highlight w:val="none"/>
                <w:vertAlign w:val="baseline"/>
                <w:lang w:val="en-US" w:eastAsia="zh-CN"/>
              </w:rPr>
              <w:t>电力工程施工总承包叁级及以上资质</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2.《承装（修、试）电力设施许可证》许可范围至少包含承装叁级及以上、承修叁级及以上资质</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3.具有施工劳务企业资质</w:t>
            </w:r>
            <w:r>
              <w:rPr>
                <w:rFonts w:hint="eastAsia" w:ascii="宋体" w:hAnsi="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4.有效的安全生产许可证</w:t>
            </w:r>
            <w:r>
              <w:rPr>
                <w:rFonts w:hint="eastAsia" w:ascii="宋体" w:hAnsi="宋体" w:cs="宋体"/>
                <w:color w:val="auto"/>
                <w:sz w:val="24"/>
                <w:szCs w:val="24"/>
                <w:highlight w:val="none"/>
                <w:vertAlign w:val="baseline"/>
                <w:lang w:val="en-US" w:eastAsia="zh-CN"/>
              </w:rPr>
              <w:t>；</w:t>
            </w:r>
          </w:p>
          <w:p>
            <w:pPr>
              <w:pStyle w:val="2"/>
              <w:numPr>
                <w:ilvl w:val="0"/>
                <w:numId w:val="0"/>
              </w:numPr>
              <w:rPr>
                <w:rFonts w:hint="eastAsia"/>
                <w:lang w:val="en-US" w:eastAsia="zh-CN"/>
              </w:rPr>
            </w:pPr>
            <w:r>
              <w:rPr>
                <w:rFonts w:hint="eastAsia" w:ascii="宋体" w:hAnsi="宋体" w:eastAsia="宋体" w:cs="宋体"/>
                <w:color w:val="auto"/>
                <w:kern w:val="2"/>
                <w:sz w:val="24"/>
                <w:szCs w:val="24"/>
                <w:vertAlign w:val="baseline"/>
                <w:lang w:val="en-US" w:eastAsia="zh-CN" w:bidi="ar-SA"/>
              </w:rPr>
              <w:t>5.投标人需为一般纳税人，能够为采购单位开具专用增值税发票。</w:t>
            </w:r>
          </w:p>
        </w:tc>
        <w:tc>
          <w:tcPr>
            <w:tcW w:w="298" w:type="pct"/>
            <w:vMerge w:val="continue"/>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vertAlign w:val="baseline"/>
                <w:lang w:val="en-US" w:eastAsia="zh-CN"/>
              </w:rPr>
            </w:pPr>
          </w:p>
        </w:tc>
        <w:tc>
          <w:tcPr>
            <w:tcW w:w="43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26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181"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8</w:t>
            </w:r>
          </w:p>
        </w:tc>
        <w:tc>
          <w:tcPr>
            <w:tcW w:w="65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设备维护技术服务</w:t>
            </w:r>
          </w:p>
        </w:tc>
        <w:tc>
          <w:tcPr>
            <w:tcW w:w="421" w:type="pct"/>
            <w:noWrap w:val="0"/>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w:t>
            </w:r>
          </w:p>
        </w:tc>
        <w:tc>
          <w:tcPr>
            <w:tcW w:w="2069" w:type="pct"/>
            <w:noWrap w:val="0"/>
            <w:vAlign w:val="center"/>
          </w:tcPr>
          <w:p>
            <w:pPr>
              <w:keepNext w:val="0"/>
              <w:keepLines w:val="0"/>
              <w:widowControl/>
              <w:suppressLineNumbers w:val="0"/>
              <w:jc w:val="left"/>
              <w:textAlignment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投标人需为一般纳税人，能够为采购单位开具专用增值税发票。</w:t>
            </w:r>
          </w:p>
        </w:tc>
        <w:tc>
          <w:tcPr>
            <w:tcW w:w="298" w:type="pct"/>
            <w:vMerge w:val="continue"/>
            <w:noWrap w:val="0"/>
            <w:vAlign w:val="center"/>
          </w:tcPr>
          <w:p>
            <w:pPr>
              <w:keepNext w:val="0"/>
              <w:keepLines w:val="0"/>
              <w:widowControl/>
              <w:suppressLineNumbers w:val="0"/>
              <w:jc w:val="center"/>
              <w:textAlignment w:val="center"/>
              <w:rPr>
                <w:rFonts w:hint="eastAsia" w:ascii="宋体" w:hAnsi="宋体" w:cs="宋体"/>
                <w:color w:val="auto"/>
                <w:sz w:val="24"/>
                <w:szCs w:val="24"/>
                <w:vertAlign w:val="baseline"/>
                <w:lang w:val="en-US" w:eastAsia="zh-CN"/>
              </w:rPr>
            </w:pPr>
          </w:p>
        </w:tc>
        <w:tc>
          <w:tcPr>
            <w:tcW w:w="43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26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181"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9</w:t>
            </w:r>
          </w:p>
        </w:tc>
        <w:tc>
          <w:tcPr>
            <w:tcW w:w="65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变电电气系统技术服务</w:t>
            </w:r>
          </w:p>
        </w:tc>
        <w:tc>
          <w:tcPr>
            <w:tcW w:w="421" w:type="pct"/>
            <w:noWrap w:val="0"/>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w:t>
            </w:r>
          </w:p>
        </w:tc>
        <w:tc>
          <w:tcPr>
            <w:tcW w:w="2069" w:type="pct"/>
            <w:noWrap w:val="0"/>
            <w:vAlign w:val="center"/>
          </w:tcPr>
          <w:p>
            <w:pPr>
              <w:keepNext w:val="0"/>
              <w:keepLines w:val="0"/>
              <w:widowControl/>
              <w:suppressLineNumbers w:val="0"/>
              <w:jc w:val="left"/>
              <w:textAlignment w:val="center"/>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投标人需为一般纳税人，能够为采购单位开具专用增值税发票。</w:t>
            </w:r>
          </w:p>
        </w:tc>
        <w:tc>
          <w:tcPr>
            <w:tcW w:w="298" w:type="pct"/>
            <w:vMerge w:val="continue"/>
            <w:noWrap w:val="0"/>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p>
        </w:tc>
        <w:tc>
          <w:tcPr>
            <w:tcW w:w="43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26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181"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10</w:t>
            </w:r>
          </w:p>
        </w:tc>
        <w:tc>
          <w:tcPr>
            <w:tcW w:w="657" w:type="pct"/>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植被恢复技术服务</w:t>
            </w:r>
          </w:p>
        </w:tc>
        <w:tc>
          <w:tcPr>
            <w:tcW w:w="421" w:type="pct"/>
            <w:noWrap w:val="0"/>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w:t>
            </w:r>
          </w:p>
        </w:tc>
        <w:tc>
          <w:tcPr>
            <w:tcW w:w="2069" w:type="pct"/>
            <w:noWrap w:val="0"/>
            <w:vAlign w:val="center"/>
          </w:tcPr>
          <w:p>
            <w:pPr>
              <w:keepNext w:val="0"/>
              <w:keepLines w:val="0"/>
              <w:widowControl/>
              <w:suppressLineNumbers w:val="0"/>
              <w:jc w:val="left"/>
              <w:textAlignment w:val="center"/>
              <w:rPr>
                <w:rFonts w:hint="default" w:ascii="宋体" w:hAnsi="宋体" w:eastAsia="宋体" w:cs="宋体"/>
                <w:color w:val="auto"/>
                <w:sz w:val="24"/>
                <w:szCs w:val="24"/>
                <w:vertAlign w:val="baseline"/>
                <w:lang w:val="en-US" w:eastAsia="zh-CN"/>
              </w:rPr>
            </w:pPr>
            <w:r>
              <w:rPr>
                <w:rFonts w:hint="default" w:ascii="宋体" w:hAnsi="宋体" w:eastAsia="宋体" w:cs="宋体"/>
                <w:color w:val="auto"/>
                <w:sz w:val="24"/>
                <w:szCs w:val="24"/>
                <w:vertAlign w:val="baseline"/>
                <w:lang w:val="en-US" w:eastAsia="zh-CN"/>
              </w:rPr>
              <w:t>投标人需为一般纳税人，能够为采购单位开具专用增值税发票。</w:t>
            </w:r>
          </w:p>
        </w:tc>
        <w:tc>
          <w:tcPr>
            <w:tcW w:w="298" w:type="pct"/>
            <w:vMerge w:val="continue"/>
            <w:noWrap w:val="0"/>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p>
        </w:tc>
        <w:tc>
          <w:tcPr>
            <w:tcW w:w="43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6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26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181"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11</w:t>
            </w:r>
          </w:p>
        </w:tc>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输变电工程分公司2024年大件运输服务框架</w:t>
            </w:r>
          </w:p>
        </w:tc>
        <w:tc>
          <w:tcPr>
            <w:tcW w:w="421" w:type="pct"/>
            <w:noWrap w:val="0"/>
            <w:vAlign w:val="center"/>
          </w:tcPr>
          <w:p>
            <w:pPr>
              <w:keepNext w:val="0"/>
              <w:keepLines w:val="0"/>
              <w:widowControl/>
              <w:suppressLineNumbers w:val="0"/>
              <w:jc w:val="center"/>
              <w:textAlignment w:val="center"/>
              <w:rPr>
                <w:rFonts w:hint="eastAsia"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w:t>
            </w:r>
          </w:p>
        </w:tc>
        <w:tc>
          <w:tcPr>
            <w:tcW w:w="2069" w:type="pct"/>
            <w:noWrap w:val="0"/>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具有道路运输许可证</w:t>
            </w:r>
          </w:p>
        </w:tc>
        <w:tc>
          <w:tcPr>
            <w:tcW w:w="298" w:type="pct"/>
            <w:vMerge w:val="continue"/>
            <w:noWrap w:val="0"/>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p>
        </w:tc>
        <w:tc>
          <w:tcPr>
            <w:tcW w:w="43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26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181"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12</w:t>
            </w:r>
          </w:p>
        </w:tc>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吊车租赁服务</w:t>
            </w:r>
          </w:p>
        </w:tc>
        <w:tc>
          <w:tcPr>
            <w:tcW w:w="421" w:type="pct"/>
            <w:noWrap w:val="0"/>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w:t>
            </w:r>
          </w:p>
        </w:tc>
        <w:tc>
          <w:tcPr>
            <w:tcW w:w="2069" w:type="pct"/>
            <w:vMerge w:val="restart"/>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kern w:val="2"/>
                <w:sz w:val="24"/>
                <w:szCs w:val="24"/>
                <w:vertAlign w:val="baseline"/>
                <w:lang w:val="en-US" w:eastAsia="zh-CN" w:bidi="ar-SA"/>
              </w:rPr>
              <w:t>1.参投公司的机械归属必须是公司名称或具有与所投车辆签订的租赁协议；参投公司的机械证件必须齐全</w:t>
            </w:r>
            <w:r>
              <w:rPr>
                <w:rFonts w:hint="eastAsia" w:ascii="宋体" w:hAnsi="宋体" w:cs="宋体"/>
                <w:color w:val="auto"/>
                <w:kern w:val="2"/>
                <w:sz w:val="24"/>
                <w:szCs w:val="24"/>
                <w:vertAlign w:val="baseline"/>
                <w:lang w:val="en-US" w:eastAsia="zh-CN" w:bidi="ar-SA"/>
              </w:rPr>
              <w:t>；</w:t>
            </w:r>
            <w:r>
              <w:rPr>
                <w:rFonts w:hint="eastAsia" w:ascii="宋体" w:hAnsi="宋体" w:eastAsia="宋体" w:cs="宋体"/>
                <w:color w:val="auto"/>
                <w:kern w:val="2"/>
                <w:sz w:val="24"/>
                <w:szCs w:val="24"/>
                <w:vertAlign w:val="baseline"/>
                <w:lang w:val="en-US" w:eastAsia="zh-CN" w:bidi="ar-SA"/>
              </w:rPr>
              <w:br w:type="textWrapping"/>
            </w:r>
            <w:r>
              <w:rPr>
                <w:rFonts w:hint="eastAsia" w:ascii="宋体" w:hAnsi="宋体" w:eastAsia="宋体" w:cs="宋体"/>
                <w:color w:val="auto"/>
                <w:kern w:val="2"/>
                <w:sz w:val="24"/>
                <w:szCs w:val="24"/>
                <w:vertAlign w:val="baseline"/>
                <w:lang w:val="en-US" w:eastAsia="zh-CN" w:bidi="ar-SA"/>
              </w:rPr>
              <w:t>2.司机证件齐全。</w:t>
            </w:r>
          </w:p>
        </w:tc>
        <w:tc>
          <w:tcPr>
            <w:tcW w:w="298" w:type="pct"/>
            <w:vMerge w:val="restart"/>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color w:val="auto"/>
                <w:kern w:val="2"/>
                <w:sz w:val="24"/>
                <w:szCs w:val="24"/>
                <w:vertAlign w:val="baseline"/>
                <w:lang w:val="en-US" w:eastAsia="zh-CN" w:bidi="ar-SA"/>
              </w:rPr>
              <w:t>折扣报价</w:t>
            </w:r>
          </w:p>
        </w:tc>
        <w:tc>
          <w:tcPr>
            <w:tcW w:w="43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26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181"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13</w:t>
            </w:r>
          </w:p>
        </w:tc>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挖机租赁服务</w:t>
            </w:r>
          </w:p>
        </w:tc>
        <w:tc>
          <w:tcPr>
            <w:tcW w:w="421" w:type="pct"/>
            <w:noWrap w:val="0"/>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w:t>
            </w:r>
          </w:p>
        </w:tc>
        <w:tc>
          <w:tcPr>
            <w:tcW w:w="2069" w:type="pct"/>
            <w:vMerge w:val="continue"/>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vertAlign w:val="baseline"/>
                <w:lang w:val="en-US" w:eastAsia="zh-CN"/>
              </w:rPr>
            </w:pPr>
          </w:p>
        </w:tc>
        <w:tc>
          <w:tcPr>
            <w:tcW w:w="298" w:type="pct"/>
            <w:vMerge w:val="continue"/>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vertAlign w:val="baseline"/>
                <w:lang w:val="en-US" w:eastAsia="zh-CN"/>
              </w:rPr>
            </w:pPr>
          </w:p>
        </w:tc>
        <w:tc>
          <w:tcPr>
            <w:tcW w:w="43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26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181"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14</w:t>
            </w:r>
          </w:p>
        </w:tc>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随车吊租赁服务</w:t>
            </w:r>
          </w:p>
        </w:tc>
        <w:tc>
          <w:tcPr>
            <w:tcW w:w="421" w:type="pct"/>
            <w:noWrap w:val="0"/>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4</w:t>
            </w:r>
          </w:p>
        </w:tc>
        <w:tc>
          <w:tcPr>
            <w:tcW w:w="2069" w:type="pct"/>
            <w:vMerge w:val="continue"/>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vertAlign w:val="baseline"/>
                <w:lang w:val="en-US" w:eastAsia="zh-CN"/>
              </w:rPr>
            </w:pPr>
          </w:p>
        </w:tc>
        <w:tc>
          <w:tcPr>
            <w:tcW w:w="298" w:type="pct"/>
            <w:vMerge w:val="continue"/>
            <w:noWrap w:val="0"/>
            <w:vAlign w:val="center"/>
          </w:tcPr>
          <w:p>
            <w:pPr>
              <w:keepNext w:val="0"/>
              <w:keepLines w:val="0"/>
              <w:widowControl/>
              <w:suppressLineNumbers w:val="0"/>
              <w:jc w:val="left"/>
              <w:textAlignment w:val="center"/>
              <w:rPr>
                <w:rFonts w:hint="eastAsia" w:ascii="宋体" w:hAnsi="宋体" w:eastAsia="宋体" w:cs="宋体"/>
                <w:color w:val="auto"/>
                <w:sz w:val="24"/>
                <w:szCs w:val="24"/>
                <w:vertAlign w:val="baseline"/>
                <w:lang w:val="en-US" w:eastAsia="zh-CN"/>
              </w:rPr>
            </w:pPr>
          </w:p>
        </w:tc>
        <w:tc>
          <w:tcPr>
            <w:tcW w:w="43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7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262"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c>
          <w:tcPr>
            <w:tcW w:w="181"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15</w:t>
            </w:r>
          </w:p>
        </w:tc>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施工工器具租赁服务</w:t>
            </w:r>
          </w:p>
        </w:tc>
        <w:tc>
          <w:tcPr>
            <w:tcW w:w="421" w:type="pct"/>
            <w:noWrap w:val="0"/>
            <w:vAlign w:val="center"/>
          </w:tcPr>
          <w:p>
            <w:pPr>
              <w:keepNext w:val="0"/>
              <w:keepLines w:val="0"/>
              <w:widowControl/>
              <w:suppressLineNumbers w:val="0"/>
              <w:jc w:val="center"/>
              <w:textAlignment w:val="center"/>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3</w:t>
            </w:r>
          </w:p>
        </w:tc>
        <w:tc>
          <w:tcPr>
            <w:tcW w:w="2069" w:type="pct"/>
            <w:noWrap w:val="0"/>
            <w:vAlign w:val="center"/>
          </w:tcPr>
          <w:p>
            <w:pPr>
              <w:keepNext w:val="0"/>
              <w:keepLines w:val="0"/>
              <w:widowControl/>
              <w:suppressLineNumbers w:val="0"/>
              <w:jc w:val="center"/>
              <w:textAlignment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w:t>
            </w:r>
          </w:p>
        </w:tc>
        <w:tc>
          <w:tcPr>
            <w:tcW w:w="298" w:type="pct"/>
            <w:vMerge w:val="continue"/>
            <w:noWrap w:val="0"/>
            <w:vAlign w:val="center"/>
          </w:tcPr>
          <w:p>
            <w:pPr>
              <w:keepNext w:val="0"/>
              <w:keepLines w:val="0"/>
              <w:widowControl/>
              <w:suppressLineNumbers w:val="0"/>
              <w:jc w:val="center"/>
              <w:textAlignment w:val="center"/>
              <w:rPr>
                <w:rFonts w:hint="eastAsia" w:ascii="宋体" w:hAnsi="宋体" w:cs="宋体"/>
                <w:color w:val="auto"/>
                <w:sz w:val="24"/>
                <w:szCs w:val="24"/>
                <w:vertAlign w:val="baseline"/>
                <w:lang w:val="en-US" w:eastAsia="zh-CN"/>
              </w:rPr>
            </w:pPr>
          </w:p>
        </w:tc>
        <w:tc>
          <w:tcPr>
            <w:tcW w:w="43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2"/>
                <w:sz w:val="24"/>
                <w:szCs w:val="24"/>
                <w:vertAlign w:val="baseline"/>
                <w:lang w:val="en-US" w:eastAsia="zh-CN" w:bidi="ar-SA"/>
              </w:rPr>
            </w:pPr>
          </w:p>
        </w:tc>
      </w:tr>
    </w:tbl>
    <w:p>
      <w:pPr>
        <w:widowControl w:val="0"/>
        <w:autoSpaceDE w:val="0"/>
        <w:autoSpaceDN w:val="0"/>
        <w:spacing w:line="400" w:lineRule="exact"/>
        <w:jc w:val="left"/>
        <w:rPr>
          <w:rFonts w:ascii="宋体" w:hAnsi="宋体" w:eastAsia="宋体" w:cs="Arial"/>
          <w:kern w:val="0"/>
          <w:sz w:val="21"/>
          <w:szCs w:val="21"/>
          <w:lang w:val="zh-CN" w:eastAsia="zh-CN" w:bidi="ar-SA"/>
        </w:rPr>
      </w:pPr>
      <w:r>
        <w:rPr>
          <w:rFonts w:hint="eastAsia" w:ascii="宋体" w:hAnsi="宋体" w:eastAsia="宋体" w:cs="宋体"/>
          <w:b/>
          <w:bCs/>
          <w:color w:val="auto"/>
          <w:kern w:val="0"/>
          <w:sz w:val="24"/>
          <w:szCs w:val="24"/>
          <w:lang w:val="zh-CN" w:eastAsia="zh-CN" w:bidi="ar-SA"/>
        </w:rPr>
        <w:t>注：</w:t>
      </w:r>
      <w:r>
        <w:rPr>
          <w:rFonts w:hint="eastAsia" w:ascii="宋体" w:hAnsi="宋体" w:eastAsia="宋体" w:cs="宋体"/>
          <w:b/>
          <w:bCs/>
          <w:color w:val="auto"/>
          <w:kern w:val="0"/>
          <w:sz w:val="24"/>
          <w:szCs w:val="24"/>
          <w:lang w:val="en-US" w:eastAsia="zh-CN" w:bidi="ar-SA"/>
        </w:rPr>
        <w:t>采购人有特种车辆使用需求时，应按照采购人实际使用需求提供所需特种车辆及专业驾驶人员为其提供服务</w:t>
      </w:r>
      <w:r>
        <w:rPr>
          <w:rFonts w:hint="eastAsia" w:ascii="宋体" w:hAnsi="宋体" w:eastAsia="宋体" w:cs="宋体"/>
          <w:b/>
          <w:bCs/>
          <w:color w:val="auto"/>
          <w:kern w:val="0"/>
          <w:sz w:val="24"/>
          <w:szCs w:val="24"/>
          <w:lang w:val="zh-CN" w:eastAsia="zh-CN" w:bidi="ar-SA"/>
        </w:rPr>
        <w:t>。</w:t>
      </w:r>
    </w:p>
    <w:p>
      <w:pPr>
        <w:widowControl w:val="0"/>
        <w:autoSpaceDE w:val="0"/>
        <w:autoSpaceDN w:val="0"/>
        <w:spacing w:line="400" w:lineRule="exact"/>
        <w:jc w:val="left"/>
        <w:rPr>
          <w:rFonts w:ascii="宋体" w:hAnsi="宋体" w:eastAsia="宋体" w:cs="Arial"/>
          <w:kern w:val="0"/>
          <w:sz w:val="21"/>
          <w:szCs w:val="21"/>
          <w:lang w:val="zh-CN" w:eastAsia="zh-CN" w:bidi="ar-SA"/>
        </w:rPr>
      </w:pPr>
    </w:p>
    <w:p>
      <w:bookmarkStart w:id="0" w:name="_GoBack"/>
      <w:bookmarkEnd w:id="0"/>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6979"/>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pPr>
                            <w:pStyle w:val="8"/>
                          </w:pPr>
                          <w:r>
                            <w:fldChar w:fldCharType="begin"/>
                          </w:r>
                          <w:r>
                            <w:instrText xml:space="preserve"> PAGE  \* MERGEFORMAT </w:instrText>
                          </w:r>
                          <w:r>
                            <w:fldChar w:fldCharType="separate"/>
                          </w:r>
                          <w:r>
                            <w:t>75</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JZAs3DTAQAApAMAAA4AAABkcnMvZTJvRG9jLnhtbK1TS27bMBDdF8gd&#10;CO5rSe4vFSwHDYwUBYq2QJID0BRpEeAPHNqSL9DeoKtuuu+5fI4OKclp000W3UjDmdHje29Gq6vB&#10;aHIQAZSzDa0WJSXCctcqu2vo/d3N80tKIDLbMu2saOhRAL1aXzxb9b4WS9c53YpAEMRC3fuGdjH6&#10;uiiAd8IwWDgvLBalC4ZFPIZd0QbWI7rRxbIsXxe9C60PjgsAzG7GIp0Qw1MAnZSKi43jeyNsHFGD&#10;0CyiJOiUB7rObKUUPH6WEkQkuqGoNOYnXoLxNj2L9YrVu8B8p/hEgT2FwiNNhimLl56hNiwysg/q&#10;HyijeHDgZFxwZ4pRSHYEVVTlI29uO+ZF1oJWgz+bDv8Pln86fAlEtQ1dUmKZwYGfvn87/fh1+vmV&#10;VMme3kONXbce++Jw7QZcmjkPmEyqBxlMeqMegnU093g2VwyRcEy+uny5xALHSvXi7Zsye188fOsD&#10;xPfCGZKChgYcXXaUHT5CRB7YOrekq6y7UVrn8Wn7VwIbx4zI85++TjJGuimKw3aYtG1de0RpPe5A&#10;Qy2uPCX6g0WL07rMQZiD7RzsfVC7DolW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JZAs3DTAQAApAMAAA4AAAAAAAAAAQAgAAAAHwEA&#10;AGRycy9lMm9Eb2MueG1sUEsFBgAAAAAGAAYAWQEAAGQ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75</w:t>
                    </w:r>
                    <w:r>
                      <w:fldChar w:fldCharType="end"/>
                    </w:r>
                  </w:p>
                </w:txbxContent>
              </v:textbox>
            </v:shape>
          </w:pict>
        </mc:Fallback>
      </mc:AlternateContent>
    </w:r>
    <w:r>
      <w:tab/>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34926"/>
    <w:multiLevelType w:val="singleLevel"/>
    <w:tmpl w:val="85734926"/>
    <w:lvl w:ilvl="0" w:tentative="0">
      <w:start w:val="1"/>
      <w:numFmt w:val="decimal"/>
      <w:lvlText w:val="%1."/>
      <w:lvlJc w:val="left"/>
      <w:pPr>
        <w:tabs>
          <w:tab w:val="left" w:pos="312"/>
        </w:tabs>
      </w:pPr>
    </w:lvl>
  </w:abstractNum>
  <w:abstractNum w:abstractNumId="1">
    <w:nsid w:val="9C4C405D"/>
    <w:multiLevelType w:val="singleLevel"/>
    <w:tmpl w:val="9C4C405D"/>
    <w:lvl w:ilvl="0" w:tentative="0">
      <w:start w:val="1"/>
      <w:numFmt w:val="decimal"/>
      <w:lvlText w:val="%1."/>
      <w:lvlJc w:val="left"/>
      <w:pPr>
        <w:tabs>
          <w:tab w:val="left" w:pos="312"/>
        </w:tabs>
      </w:pPr>
    </w:lvl>
  </w:abstractNum>
  <w:abstractNum w:abstractNumId="2">
    <w:nsid w:val="A36EB5BF"/>
    <w:multiLevelType w:val="singleLevel"/>
    <w:tmpl w:val="A36EB5BF"/>
    <w:lvl w:ilvl="0" w:tentative="0">
      <w:start w:val="1"/>
      <w:numFmt w:val="decimal"/>
      <w:lvlText w:val="%1."/>
      <w:lvlJc w:val="left"/>
      <w:pPr>
        <w:tabs>
          <w:tab w:val="left" w:pos="312"/>
        </w:tabs>
      </w:pPr>
    </w:lvl>
  </w:abstractNum>
  <w:abstractNum w:abstractNumId="3">
    <w:nsid w:val="C3DA39F0"/>
    <w:multiLevelType w:val="singleLevel"/>
    <w:tmpl w:val="C3DA39F0"/>
    <w:lvl w:ilvl="0" w:tentative="0">
      <w:start w:val="1"/>
      <w:numFmt w:val="decimal"/>
      <w:lvlText w:val="%1."/>
      <w:lvlJc w:val="left"/>
      <w:pPr>
        <w:tabs>
          <w:tab w:val="left" w:pos="312"/>
        </w:tabs>
      </w:pPr>
    </w:lvl>
  </w:abstractNum>
  <w:abstractNum w:abstractNumId="4">
    <w:nsid w:val="18DBA931"/>
    <w:multiLevelType w:val="singleLevel"/>
    <w:tmpl w:val="18DBA931"/>
    <w:lvl w:ilvl="0" w:tentative="0">
      <w:start w:val="1"/>
      <w:numFmt w:val="decimal"/>
      <w:lvlText w:val="%1."/>
      <w:lvlJc w:val="left"/>
      <w:pPr>
        <w:tabs>
          <w:tab w:val="left" w:pos="312"/>
        </w:tabs>
      </w:pPr>
    </w:lvl>
  </w:abstractNum>
  <w:abstractNum w:abstractNumId="5">
    <w:nsid w:val="1D870E2C"/>
    <w:multiLevelType w:val="singleLevel"/>
    <w:tmpl w:val="1D870E2C"/>
    <w:lvl w:ilvl="0" w:tentative="0">
      <w:start w:val="1"/>
      <w:numFmt w:val="decimal"/>
      <w:lvlText w:val="%1."/>
      <w:lvlJc w:val="left"/>
      <w:pPr>
        <w:tabs>
          <w:tab w:val="left" w:pos="312"/>
        </w:tabs>
      </w:pPr>
    </w:lvl>
  </w:abstractNum>
  <w:abstractNum w:abstractNumId="6">
    <w:nsid w:val="3E28CD10"/>
    <w:multiLevelType w:val="singleLevel"/>
    <w:tmpl w:val="3E28CD10"/>
    <w:lvl w:ilvl="0" w:tentative="0">
      <w:start w:val="1"/>
      <w:numFmt w:val="decimal"/>
      <w:lvlText w:val="%1."/>
      <w:lvlJc w:val="left"/>
      <w:pPr>
        <w:tabs>
          <w:tab w:val="left" w:pos="312"/>
        </w:tabs>
      </w:pPr>
    </w:lvl>
  </w:abstractNum>
  <w:num w:numId="1">
    <w:abstractNumId w:val="1"/>
  </w:num>
  <w:num w:numId="2">
    <w:abstractNumId w:val="4"/>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2NWRiNWI0MTg3MzE5MjlhYmNlYTJjYzlhZjQxNzgifQ=="/>
  </w:docVars>
  <w:rsids>
    <w:rsidRoot w:val="67DC344E"/>
    <w:rsid w:val="4E5E049F"/>
    <w:rsid w:val="67DC3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tabs>
        <w:tab w:val="left" w:pos="606"/>
      </w:tabs>
      <w:spacing w:after="120" w:afterLines="0"/>
      <w:ind w:firstLine="420" w:firstLineChars="100"/>
    </w:pPr>
    <w:rPr>
      <w:rFonts w:ascii="Times New Roman" w:eastAsia="宋体"/>
      <w:sz w:val="21"/>
    </w:rPr>
  </w:style>
  <w:style w:type="paragraph" w:styleId="3">
    <w:name w:val="Body Text"/>
    <w:basedOn w:val="1"/>
    <w:next w:val="4"/>
    <w:qFormat/>
    <w:uiPriority w:val="0"/>
    <w:pPr>
      <w:autoSpaceDE w:val="0"/>
      <w:autoSpaceDN w:val="0"/>
      <w:jc w:val="left"/>
    </w:pPr>
    <w:rPr>
      <w:rFonts w:ascii="宋体" w:hAnsi="宋体" w:cs="宋体"/>
      <w:kern w:val="0"/>
      <w:szCs w:val="21"/>
      <w:lang w:val="zh-CN" w:bidi="zh-CN"/>
    </w:rPr>
  </w:style>
  <w:style w:type="paragraph" w:styleId="4">
    <w:name w:val="Body Text 2"/>
    <w:basedOn w:val="1"/>
    <w:qFormat/>
    <w:uiPriority w:val="0"/>
    <w:pPr>
      <w:spacing w:line="360" w:lineRule="auto"/>
    </w:pPr>
    <w:rPr>
      <w:rFonts w:ascii="仿宋_GB2312" w:eastAsia="仿宋_GB2312"/>
      <w:color w:val="000000"/>
      <w:sz w:val="24"/>
    </w:rPr>
  </w:style>
  <w:style w:type="paragraph" w:styleId="5">
    <w:name w:val="Body Text First Indent 2"/>
    <w:basedOn w:val="6"/>
    <w:next w:val="7"/>
    <w:qFormat/>
    <w:uiPriority w:val="0"/>
    <w:pPr>
      <w:ind w:firstLine="420"/>
    </w:pPr>
  </w:style>
  <w:style w:type="paragraph" w:styleId="6">
    <w:name w:val="Body Text Indent"/>
    <w:basedOn w:val="1"/>
    <w:qFormat/>
    <w:uiPriority w:val="0"/>
    <w:pPr>
      <w:spacing w:after="120"/>
      <w:ind w:left="420"/>
    </w:pPr>
    <w:rPr>
      <w:sz w:val="22"/>
    </w:rPr>
  </w:style>
  <w:style w:type="paragraph" w:customStyle="1" w:styleId="7">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styleId="8">
    <w:name w:val="footer"/>
    <w:basedOn w:val="1"/>
    <w:next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2024-02-02T13:27:00Z</dcterms:created>
  <dc:creator>ℳ</dc:creator>
  <cp:lastModifiedBy>ℳ</cp:lastModifiedBy>
  <dcterms:modified xsi:type="dcterms:W3CDTF">2024-02-02T13:28:13Z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CFADDB6B0C4F4C12B86058CDC662D68B_13</vt:lpwstr>
  </property>
</Properties>
</file>